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1E7D3" w14:textId="79616438" w:rsidR="008376CA" w:rsidRDefault="00A61613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</w:t>
      </w:r>
      <w:r w:rsidR="00044B27">
        <w:rPr>
          <w:sz w:val="24"/>
          <w:szCs w:val="24"/>
        </w:rPr>
        <w:t>2</w:t>
      </w:r>
      <w:r>
        <w:rPr>
          <w:sz w:val="24"/>
          <w:szCs w:val="24"/>
        </w:rPr>
        <w:t>-e</w:t>
      </w:r>
      <w:r>
        <w:rPr>
          <w:bCs/>
          <w:sz w:val="24"/>
          <w:szCs w:val="24"/>
        </w:rPr>
        <w:tab/>
      </w:r>
      <w:r w:rsidR="0013320F" w:rsidRPr="0013320F">
        <w:rPr>
          <w:bCs/>
          <w:sz w:val="24"/>
          <w:szCs w:val="24"/>
        </w:rPr>
        <w:t>R3-21230</w:t>
      </w:r>
      <w:r w:rsidR="0013320F">
        <w:rPr>
          <w:bCs/>
          <w:sz w:val="24"/>
          <w:szCs w:val="24"/>
        </w:rPr>
        <w:t>8</w:t>
      </w:r>
    </w:p>
    <w:p w14:paraId="28B76B5C" w14:textId="0D6590EC" w:rsidR="008376CA" w:rsidRDefault="00A61613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bookmarkStart w:id="1" w:name="_Hlk490060723"/>
      <w:bookmarkStart w:id="2" w:name="_Hlk69318496"/>
      <w:r>
        <w:rPr>
          <w:rFonts w:cs="Arial"/>
          <w:sz w:val="24"/>
          <w:szCs w:val="24"/>
          <w:lang w:val="en-US"/>
        </w:rPr>
        <w:t xml:space="preserve">E-meeting, </w:t>
      </w:r>
      <w:r w:rsidR="00044B27">
        <w:rPr>
          <w:rFonts w:cs="Arial"/>
          <w:sz w:val="24"/>
          <w:szCs w:val="24"/>
          <w:lang w:val="en-US"/>
        </w:rPr>
        <w:t>17</w:t>
      </w:r>
      <w:r>
        <w:rPr>
          <w:rFonts w:cs="Arial"/>
          <w:sz w:val="24"/>
          <w:szCs w:val="24"/>
          <w:lang w:val="en-US"/>
        </w:rPr>
        <w:t xml:space="preserve"> – </w:t>
      </w:r>
      <w:r w:rsidR="00044B27">
        <w:rPr>
          <w:rFonts w:cs="Arial"/>
          <w:sz w:val="24"/>
          <w:szCs w:val="24"/>
          <w:lang w:val="en-US"/>
        </w:rPr>
        <w:t>2</w:t>
      </w:r>
      <w:r w:rsidR="00C343BC">
        <w:rPr>
          <w:rFonts w:cs="Arial"/>
          <w:sz w:val="24"/>
          <w:szCs w:val="24"/>
          <w:lang w:val="en-US"/>
        </w:rPr>
        <w:t>7</w:t>
      </w:r>
      <w:r>
        <w:rPr>
          <w:rFonts w:cs="Arial"/>
          <w:sz w:val="24"/>
          <w:szCs w:val="24"/>
          <w:lang w:val="en-US"/>
        </w:rPr>
        <w:t xml:space="preserve"> </w:t>
      </w:r>
      <w:proofErr w:type="gramStart"/>
      <w:r w:rsidR="00044B27">
        <w:rPr>
          <w:rFonts w:cs="Arial"/>
          <w:sz w:val="24"/>
          <w:szCs w:val="24"/>
          <w:lang w:val="en-US"/>
        </w:rPr>
        <w:t>May</w:t>
      </w:r>
      <w:r>
        <w:rPr>
          <w:rFonts w:eastAsia="SimSun"/>
          <w:sz w:val="24"/>
          <w:szCs w:val="24"/>
          <w:lang w:val="en-US" w:eastAsia="zh-CN"/>
        </w:rPr>
        <w:t>,</w:t>
      </w:r>
      <w:proofErr w:type="gramEnd"/>
      <w:r>
        <w:rPr>
          <w:rFonts w:eastAsia="SimSun"/>
          <w:sz w:val="24"/>
          <w:szCs w:val="24"/>
          <w:lang w:val="en-US" w:eastAsia="zh-CN"/>
        </w:rPr>
        <w:t xml:space="preserve"> </w:t>
      </w:r>
      <w:bookmarkEnd w:id="1"/>
      <w:r>
        <w:rPr>
          <w:rFonts w:eastAsia="SimSun"/>
          <w:sz w:val="24"/>
          <w:szCs w:val="24"/>
          <w:lang w:val="en-US" w:eastAsia="zh-CN"/>
        </w:rPr>
        <w:t>202</w:t>
      </w:r>
      <w:r w:rsidR="00044B27">
        <w:rPr>
          <w:rFonts w:eastAsia="SimSun"/>
          <w:sz w:val="24"/>
          <w:szCs w:val="24"/>
          <w:lang w:val="en-US" w:eastAsia="zh-CN"/>
        </w:rPr>
        <w:t>1</w:t>
      </w:r>
    </w:p>
    <w:bookmarkEnd w:id="2"/>
    <w:p w14:paraId="1F9E7CDE" w14:textId="77777777" w:rsidR="008376CA" w:rsidRDefault="008376CA">
      <w:pPr>
        <w:pStyle w:val="Header"/>
        <w:rPr>
          <w:bCs/>
          <w:sz w:val="24"/>
          <w:lang w:val="en-US"/>
        </w:rPr>
      </w:pPr>
    </w:p>
    <w:p w14:paraId="1E291F53" w14:textId="77777777" w:rsidR="008376CA" w:rsidRDefault="008376CA">
      <w:pPr>
        <w:pStyle w:val="Header"/>
        <w:rPr>
          <w:bCs/>
          <w:sz w:val="24"/>
          <w:lang w:val="en-US"/>
        </w:rPr>
      </w:pPr>
    </w:p>
    <w:p w14:paraId="2AA3825A" w14:textId="4330928C" w:rsidR="008376CA" w:rsidRDefault="00A61613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 w:rsidR="00044B27">
        <w:rPr>
          <w:rFonts w:cs="Arial"/>
          <w:b/>
          <w:bCs/>
          <w:sz w:val="24"/>
          <w:lang w:val="en-US" w:eastAsia="ja-JP"/>
        </w:rPr>
        <w:t>8.1</w:t>
      </w:r>
    </w:p>
    <w:p w14:paraId="5DCC904F" w14:textId="703EFCAB" w:rsidR="008376CA" w:rsidRDefault="00A6161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Ericsson</w:t>
      </w:r>
    </w:p>
    <w:p w14:paraId="0BC909D5" w14:textId="563B4414" w:rsidR="008376CA" w:rsidRDefault="00A61613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DA53C7">
        <w:rPr>
          <w:rFonts w:ascii="Arial" w:hAnsi="Arial" w:cs="Arial"/>
          <w:b/>
          <w:bCs/>
          <w:sz w:val="24"/>
        </w:rPr>
        <w:t>Discussion</w:t>
      </w:r>
      <w:r w:rsidR="00B506FE">
        <w:rPr>
          <w:rFonts w:ascii="Arial" w:hAnsi="Arial" w:cs="Arial"/>
          <w:b/>
          <w:bCs/>
          <w:sz w:val="24"/>
        </w:rPr>
        <w:t xml:space="preserve"> on</w:t>
      </w:r>
      <w:r w:rsidR="00DA53C7">
        <w:rPr>
          <w:rFonts w:ascii="Arial" w:hAnsi="Arial" w:cs="Arial"/>
          <w:b/>
          <w:bCs/>
          <w:sz w:val="24"/>
        </w:rPr>
        <w:t xml:space="preserve"> </w:t>
      </w:r>
      <w:r w:rsidR="00C343BC">
        <w:rPr>
          <w:rFonts w:ascii="Arial" w:hAnsi="Arial" w:cs="Arial"/>
          <w:b/>
          <w:bCs/>
          <w:sz w:val="24"/>
        </w:rPr>
        <w:t>L1/L2 inter cell mobility</w:t>
      </w:r>
    </w:p>
    <w:p w14:paraId="3A8AEFC5" w14:textId="156BA3A1" w:rsidR="008376CA" w:rsidRDefault="00A61613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="00044B27">
        <w:rPr>
          <w:rFonts w:ascii="Arial" w:hAnsi="Arial" w:cs="Arial"/>
          <w:b/>
          <w:bCs/>
          <w:sz w:val="24"/>
        </w:rPr>
        <w:t>Discussion and Approval</w:t>
      </w:r>
    </w:p>
    <w:p w14:paraId="7F1D25AA" w14:textId="77777777" w:rsidR="008376CA" w:rsidRDefault="00A61613">
      <w:pPr>
        <w:pStyle w:val="Heading1"/>
      </w:pPr>
      <w:r>
        <w:t>1</w:t>
      </w:r>
      <w:r>
        <w:tab/>
        <w:t>Introduction</w:t>
      </w:r>
    </w:p>
    <w:p w14:paraId="4C07C4BC" w14:textId="63D4845E" w:rsidR="009442BA" w:rsidRDefault="00044B27">
      <w:r>
        <w:t>In [1] RAN3 received a</w:t>
      </w:r>
      <w:r w:rsidR="00C343BC">
        <w:t xml:space="preserve">n LS from RAN1 describing the topic of </w:t>
      </w:r>
      <w:r w:rsidR="00C343BC" w:rsidRPr="00C343BC">
        <w:t>L1/L2-centric inter-cell mobility</w:t>
      </w:r>
      <w:r w:rsidR="00C343BC">
        <w:t xml:space="preserve">. </w:t>
      </w:r>
    </w:p>
    <w:p w14:paraId="6AE6E8DB" w14:textId="2C7B2003" w:rsidR="00C343BC" w:rsidRDefault="00C343BC">
      <w:r>
        <w:t>The LS describes the agreements taken by RAN1 in this ar</w:t>
      </w:r>
      <w:r w:rsidR="00322F25">
        <w:t>e</w:t>
      </w:r>
      <w:r>
        <w:t>a and it asks the following questions to RAN3:</w:t>
      </w:r>
    </w:p>
    <w:p w14:paraId="07731FE3" w14:textId="77777777" w:rsidR="00C343BC" w:rsidRPr="00C343BC" w:rsidRDefault="00C343BC" w:rsidP="00C343BC">
      <w:pPr>
        <w:snapToGrid w:val="0"/>
        <w:jc w:val="both"/>
        <w:rPr>
          <w:i/>
          <w:iCs/>
          <w:sz w:val="22"/>
          <w:szCs w:val="22"/>
          <w:lang w:eastAsia="zh-CN"/>
        </w:rPr>
      </w:pPr>
      <w:r w:rsidRPr="00C343BC">
        <w:rPr>
          <w:b/>
          <w:bCs/>
          <w:i/>
          <w:iCs/>
          <w:sz w:val="22"/>
          <w:szCs w:val="22"/>
          <w:lang w:eastAsia="zh-CN"/>
        </w:rPr>
        <w:t>Question 4</w:t>
      </w:r>
      <w:r w:rsidRPr="00C343BC">
        <w:rPr>
          <w:i/>
          <w:iCs/>
          <w:sz w:val="22"/>
          <w:szCs w:val="22"/>
          <w:lang w:eastAsia="zh-CN"/>
        </w:rPr>
        <w:t>: In regard of CU-DU split, from RAN2/3 perspective</w:t>
      </w:r>
      <w:r w:rsidRPr="00C343BC">
        <w:rPr>
          <w:i/>
          <w:iCs/>
          <w:sz w:val="22"/>
          <w:szCs w:val="28"/>
          <w:lang w:eastAsia="zh-CN"/>
        </w:rPr>
        <w:t xml:space="preserve">, is there any difference between supporting intra-DU only and supporting inter- in addition to intra-DU, in terms of the following? </w:t>
      </w:r>
    </w:p>
    <w:p w14:paraId="669B0B0C" w14:textId="77777777" w:rsidR="00C343BC" w:rsidRPr="00C343BC" w:rsidRDefault="00C343BC" w:rsidP="00C343BC">
      <w:pPr>
        <w:pStyle w:val="ListParagraph"/>
        <w:numPr>
          <w:ilvl w:val="0"/>
          <w:numId w:val="7"/>
        </w:numPr>
        <w:snapToGrid w:val="0"/>
        <w:spacing w:after="0" w:line="240" w:lineRule="auto"/>
        <w:jc w:val="both"/>
        <w:rPr>
          <w:i/>
          <w:iCs/>
          <w:sz w:val="22"/>
          <w:szCs w:val="22"/>
          <w:lang w:eastAsia="zh-CN"/>
        </w:rPr>
      </w:pPr>
      <w:r w:rsidRPr="00C343BC">
        <w:rPr>
          <w:i/>
          <w:iCs/>
          <w:sz w:val="22"/>
          <w:szCs w:val="22"/>
          <w:lang w:val="en-US" w:eastAsia="zh-CN"/>
        </w:rPr>
        <w:t>The associated RAN2 specification</w:t>
      </w:r>
      <w:r w:rsidRPr="00C343BC">
        <w:rPr>
          <w:i/>
          <w:iCs/>
          <w:sz w:val="22"/>
          <w:szCs w:val="28"/>
          <w:lang w:eastAsia="zh-CN"/>
        </w:rPr>
        <w:t xml:space="preserve"> impact</w:t>
      </w:r>
      <w:r w:rsidRPr="00C343BC">
        <w:rPr>
          <w:i/>
          <w:iCs/>
          <w:sz w:val="22"/>
          <w:szCs w:val="28"/>
          <w:lang w:val="en-US" w:eastAsia="zh-CN"/>
        </w:rPr>
        <w:t>,</w:t>
      </w:r>
    </w:p>
    <w:p w14:paraId="6503C56A" w14:textId="77777777" w:rsidR="00C343BC" w:rsidRPr="00C343BC" w:rsidRDefault="00C343BC" w:rsidP="00C343BC">
      <w:pPr>
        <w:pStyle w:val="ListParagraph"/>
        <w:numPr>
          <w:ilvl w:val="0"/>
          <w:numId w:val="7"/>
        </w:numPr>
        <w:snapToGrid w:val="0"/>
        <w:spacing w:after="0" w:line="240" w:lineRule="auto"/>
        <w:jc w:val="both"/>
        <w:rPr>
          <w:i/>
          <w:iCs/>
          <w:sz w:val="22"/>
          <w:szCs w:val="22"/>
          <w:lang w:eastAsia="zh-CN"/>
        </w:rPr>
      </w:pPr>
      <w:r w:rsidRPr="00C343BC">
        <w:rPr>
          <w:i/>
          <w:iCs/>
          <w:sz w:val="22"/>
          <w:szCs w:val="22"/>
          <w:lang w:val="en-US" w:eastAsia="zh-CN"/>
        </w:rPr>
        <w:t xml:space="preserve">Applicable use cases (e.g. deployment scenarios), and </w:t>
      </w:r>
    </w:p>
    <w:p w14:paraId="5CB96F96" w14:textId="77777777" w:rsidR="00C343BC" w:rsidRPr="00C343BC" w:rsidRDefault="00C343BC" w:rsidP="00C343BC">
      <w:pPr>
        <w:pStyle w:val="ListParagraph"/>
        <w:numPr>
          <w:ilvl w:val="0"/>
          <w:numId w:val="7"/>
        </w:numPr>
        <w:snapToGrid w:val="0"/>
        <w:spacing w:after="0" w:line="240" w:lineRule="auto"/>
        <w:jc w:val="both"/>
        <w:rPr>
          <w:i/>
          <w:iCs/>
          <w:sz w:val="22"/>
          <w:szCs w:val="22"/>
          <w:lang w:eastAsia="zh-CN"/>
        </w:rPr>
      </w:pPr>
      <w:r w:rsidRPr="00C343BC">
        <w:rPr>
          <w:i/>
          <w:iCs/>
          <w:sz w:val="22"/>
          <w:szCs w:val="22"/>
          <w:lang w:val="en-US" w:eastAsia="zh-CN"/>
        </w:rPr>
        <w:t xml:space="preserve">Network inter-operability (e.g. across different </w:t>
      </w:r>
      <w:proofErr w:type="spellStart"/>
      <w:r w:rsidRPr="00C343BC">
        <w:rPr>
          <w:i/>
          <w:iCs/>
          <w:sz w:val="22"/>
          <w:szCs w:val="22"/>
          <w:lang w:val="en-US" w:eastAsia="zh-CN"/>
        </w:rPr>
        <w:t>gNB</w:t>
      </w:r>
      <w:proofErr w:type="spellEnd"/>
      <w:r w:rsidRPr="00C343BC">
        <w:rPr>
          <w:i/>
          <w:iCs/>
          <w:sz w:val="22"/>
          <w:szCs w:val="22"/>
          <w:lang w:val="en-US" w:eastAsia="zh-CN"/>
        </w:rPr>
        <w:t xml:space="preserve"> vendors)</w:t>
      </w:r>
    </w:p>
    <w:p w14:paraId="1A8219B6" w14:textId="107DAE91" w:rsidR="00C343BC" w:rsidRDefault="00C343BC"/>
    <w:p w14:paraId="409EBB01" w14:textId="14E60CEF" w:rsidR="00C343BC" w:rsidRDefault="00C343BC">
      <w:r>
        <w:t>This paper addresses the question form RAN1 and derives an answer to it.</w:t>
      </w:r>
    </w:p>
    <w:p w14:paraId="4898DDF8" w14:textId="2943C43F" w:rsidR="009442BA" w:rsidRDefault="009442BA" w:rsidP="009442BA">
      <w:pPr>
        <w:pStyle w:val="Heading1"/>
      </w:pPr>
      <w:r>
        <w:t>3</w:t>
      </w:r>
      <w:r>
        <w:tab/>
        <w:t>Discussion</w:t>
      </w:r>
    </w:p>
    <w:p w14:paraId="3F6DBEFD" w14:textId="606843FA" w:rsidR="00C343BC" w:rsidRDefault="00C343BC" w:rsidP="006957FA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mobility function is located at the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-CU-CP, according to RAN3 specifications. Hence impacts on RAN3 may need to be incurred if mobility decisions had to be taken at L1/L2, i.e. at the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>-DU.</w:t>
      </w:r>
    </w:p>
    <w:p w14:paraId="1B04C928" w14:textId="6E810BA2" w:rsidR="00C343BC" w:rsidRDefault="00C343BC" w:rsidP="006957FA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However, there would be a considerable difference in the impacts to current architecture and interfaces if L1/L2 centric inter cell mobility had to be supported for inter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>-DU scenarios. Some reasons justifying this statement are provided below.</w:t>
      </w:r>
    </w:p>
    <w:p w14:paraId="2CC176DB" w14:textId="73D9CC47" w:rsidR="006957FA" w:rsidRDefault="00C343BC" w:rsidP="00C343BC">
      <w:pPr>
        <w:pStyle w:val="Heading2"/>
      </w:pPr>
      <w:r>
        <w:t>3.1</w:t>
      </w:r>
      <w:r>
        <w:tab/>
      </w:r>
      <w:r w:rsidR="0088010B">
        <w:t xml:space="preserve">Intra </w:t>
      </w:r>
      <w:proofErr w:type="spellStart"/>
      <w:r w:rsidR="0088010B">
        <w:t>gNB</w:t>
      </w:r>
      <w:proofErr w:type="spellEnd"/>
      <w:r w:rsidR="0088010B">
        <w:t xml:space="preserve">-DU </w:t>
      </w:r>
      <w:r w:rsidR="0088010B" w:rsidRPr="0088010B">
        <w:t>L1/L2 centric inter cell mobility</w:t>
      </w:r>
    </w:p>
    <w:p w14:paraId="063ABEC1" w14:textId="6DF94668" w:rsidR="0088010B" w:rsidRDefault="0088010B" w:rsidP="0088010B">
      <w:r>
        <w:t xml:space="preserve">In this scenario the </w:t>
      </w:r>
      <w:proofErr w:type="spellStart"/>
      <w:r>
        <w:t>gNB</w:t>
      </w:r>
      <w:proofErr w:type="spellEnd"/>
      <w:r>
        <w:t xml:space="preserve">-DU may learn neighbour </w:t>
      </w:r>
      <w:r w:rsidR="00400A37">
        <w:t>cell</w:t>
      </w:r>
      <w:r>
        <w:t xml:space="preserve"> relations</w:t>
      </w:r>
      <w:r w:rsidR="00400A37">
        <w:t xml:space="preserve"> between its own cells</w:t>
      </w:r>
      <w:r>
        <w:t xml:space="preserve"> by </w:t>
      </w:r>
      <w:r w:rsidR="00400A37">
        <w:t xml:space="preserve">means of </w:t>
      </w:r>
      <w:r>
        <w:t xml:space="preserve">L1/L2 UE measurements reporting. A </w:t>
      </w:r>
      <w:proofErr w:type="spellStart"/>
      <w:r>
        <w:t>gNB</w:t>
      </w:r>
      <w:proofErr w:type="spellEnd"/>
      <w:r>
        <w:t xml:space="preserve">-DU has all the information concerning </w:t>
      </w:r>
      <w:r w:rsidR="00400A37">
        <w:t xml:space="preserve">its own served </w:t>
      </w:r>
      <w:r>
        <w:t>cells, hence there would be no need to signal</w:t>
      </w:r>
      <w:r w:rsidR="00400A37">
        <w:t xml:space="preserve"> to the </w:t>
      </w:r>
      <w:proofErr w:type="spellStart"/>
      <w:r w:rsidR="00400A37">
        <w:t>gNB</w:t>
      </w:r>
      <w:proofErr w:type="spellEnd"/>
      <w:r w:rsidR="00400A37">
        <w:t>-DU</w:t>
      </w:r>
      <w:r>
        <w:t xml:space="preserve"> neighbour cell information</w:t>
      </w:r>
      <w:r w:rsidR="00400A37">
        <w:t xml:space="preserve"> for cells</w:t>
      </w:r>
      <w:r>
        <w:t xml:space="preserve"> not</w:t>
      </w:r>
      <w:r w:rsidR="00400A37">
        <w:t xml:space="preserve"> served by</w:t>
      </w:r>
      <w:r>
        <w:t xml:space="preserve"> the </w:t>
      </w:r>
      <w:proofErr w:type="spellStart"/>
      <w:r>
        <w:t>gNB</w:t>
      </w:r>
      <w:proofErr w:type="spellEnd"/>
      <w:r>
        <w:t xml:space="preserve">-DU. </w:t>
      </w:r>
    </w:p>
    <w:p w14:paraId="2637F9DE" w14:textId="2EB6F401" w:rsidR="0088010B" w:rsidRDefault="0088010B" w:rsidP="0088010B">
      <w:r>
        <w:t>In order to maintain the mobility function under the</w:t>
      </w:r>
      <w:r w:rsidR="00400A37">
        <w:t xml:space="preserve"> </w:t>
      </w:r>
      <w:proofErr w:type="spellStart"/>
      <w:r w:rsidR="00400A37">
        <w:t>gNB</w:t>
      </w:r>
      <w:proofErr w:type="spellEnd"/>
      <w:r w:rsidR="00400A37">
        <w:t>-CU-CP</w:t>
      </w:r>
      <w:r>
        <w:t xml:space="preserve"> control, the </w:t>
      </w:r>
      <w:proofErr w:type="spellStart"/>
      <w:r>
        <w:t>gNB</w:t>
      </w:r>
      <w:proofErr w:type="spellEnd"/>
      <w:r>
        <w:t xml:space="preserve">-CU could signal to the </w:t>
      </w:r>
      <w:proofErr w:type="spellStart"/>
      <w:r>
        <w:t>gNB</w:t>
      </w:r>
      <w:proofErr w:type="spellEnd"/>
      <w:r>
        <w:t xml:space="preserve">-DU a list of candidate </w:t>
      </w:r>
      <w:proofErr w:type="spellStart"/>
      <w:r>
        <w:t>PCells</w:t>
      </w:r>
      <w:proofErr w:type="spellEnd"/>
      <w:r>
        <w:t xml:space="preserve">, to be used by the </w:t>
      </w:r>
      <w:proofErr w:type="spellStart"/>
      <w:r>
        <w:t>gNB</w:t>
      </w:r>
      <w:proofErr w:type="spellEnd"/>
      <w:r>
        <w:t xml:space="preserve">-DU for L1/L2 centric inter cell mobility. </w:t>
      </w:r>
    </w:p>
    <w:p w14:paraId="2D5AB158" w14:textId="77777777" w:rsidR="00322F25" w:rsidRDefault="0088010B" w:rsidP="0088010B">
      <w:r>
        <w:lastRenderedPageBreak/>
        <w:t xml:space="preserve">This approach would be similar to how carrier aggregation is supported over the F1 interface, where the </w:t>
      </w:r>
      <w:proofErr w:type="spellStart"/>
      <w:r>
        <w:t>gNB</w:t>
      </w:r>
      <w:proofErr w:type="spellEnd"/>
      <w:r>
        <w:t xml:space="preserve">-CU provides to the </w:t>
      </w:r>
      <w:proofErr w:type="spellStart"/>
      <w:r>
        <w:t>gNB</w:t>
      </w:r>
      <w:proofErr w:type="spellEnd"/>
      <w:r>
        <w:t xml:space="preserve">-DU a list of potential SCells and where the </w:t>
      </w:r>
      <w:proofErr w:type="spellStart"/>
      <w:r>
        <w:t>gNB</w:t>
      </w:r>
      <w:proofErr w:type="spellEnd"/>
      <w:r>
        <w:t xml:space="preserve">-DU generates a Cell Group Config </w:t>
      </w:r>
      <w:r w:rsidR="00D5189D">
        <w:t xml:space="preserve">used to configure the UE with all </w:t>
      </w:r>
      <w:r w:rsidR="00400A37">
        <w:t xml:space="preserve">suitable </w:t>
      </w:r>
      <w:r w:rsidR="00D5189D">
        <w:t xml:space="preserve">SCells. </w:t>
      </w:r>
      <w:r w:rsidR="00400A37">
        <w:t xml:space="preserve">Once the UE has been configured with </w:t>
      </w:r>
      <w:proofErr w:type="gramStart"/>
      <w:r w:rsidR="00400A37">
        <w:t>a number of</w:t>
      </w:r>
      <w:proofErr w:type="gramEnd"/>
      <w:r w:rsidR="00400A37">
        <w:t xml:space="preserve"> suitable SCells, t</w:t>
      </w:r>
      <w:r w:rsidR="00D5189D">
        <w:t xml:space="preserve">he </w:t>
      </w:r>
      <w:proofErr w:type="spellStart"/>
      <w:r w:rsidR="00D5189D">
        <w:t>gNB</w:t>
      </w:r>
      <w:proofErr w:type="spellEnd"/>
      <w:r w:rsidR="00D5189D">
        <w:t xml:space="preserve">-DU is able to select dynamically the </w:t>
      </w:r>
      <w:proofErr w:type="spellStart"/>
      <w:r w:rsidR="00D5189D">
        <w:t>SCell</w:t>
      </w:r>
      <w:proofErr w:type="spellEnd"/>
      <w:r w:rsidR="00D5189D">
        <w:t xml:space="preserve"> to use </w:t>
      </w:r>
      <w:r w:rsidR="00322F25">
        <w:t>and communicate it to the UE</w:t>
      </w:r>
      <w:r w:rsidR="00D5189D">
        <w:t>.</w:t>
      </w:r>
    </w:p>
    <w:p w14:paraId="069B0226" w14:textId="77777777" w:rsidR="00322F25" w:rsidRDefault="00322F25" w:rsidP="0088010B">
      <w:r>
        <w:t xml:space="preserve">It might be also assumed that after </w:t>
      </w:r>
      <w:proofErr w:type="spellStart"/>
      <w:r>
        <w:t>PCell</w:t>
      </w:r>
      <w:proofErr w:type="spellEnd"/>
      <w:r>
        <w:t xml:space="preserve"> changes the </w:t>
      </w:r>
      <w:proofErr w:type="spellStart"/>
      <w:r>
        <w:t>gNB</w:t>
      </w:r>
      <w:proofErr w:type="spellEnd"/>
      <w:r>
        <w:t xml:space="preserve">-DU may notify the </w:t>
      </w:r>
      <w:proofErr w:type="spellStart"/>
      <w:r>
        <w:t>gNB</w:t>
      </w:r>
      <w:proofErr w:type="spellEnd"/>
      <w:r>
        <w:t xml:space="preserve">-CU of such change, to </w:t>
      </w:r>
      <w:proofErr w:type="spellStart"/>
      <w:r>
        <w:t>to</w:t>
      </w:r>
      <w:proofErr w:type="spellEnd"/>
      <w:r>
        <w:t xml:space="preserve"> maintain an in-synch status on the serving </w:t>
      </w:r>
      <w:proofErr w:type="spellStart"/>
      <w:r>
        <w:t>PCell</w:t>
      </w:r>
      <w:proofErr w:type="spellEnd"/>
      <w:r>
        <w:t xml:space="preserve"> between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 xml:space="preserve">-CU and to allow </w:t>
      </w:r>
      <w:proofErr w:type="spellStart"/>
      <w:r>
        <w:t>gNB</w:t>
      </w:r>
      <w:proofErr w:type="spellEnd"/>
      <w:r>
        <w:t>-CU to run procedures such as mobility, for which the source cell identity needs to be known.</w:t>
      </w:r>
    </w:p>
    <w:p w14:paraId="36E54F6A" w14:textId="04478FCD" w:rsidR="00D5189D" w:rsidRDefault="00322F25" w:rsidP="0088010B">
      <w:r>
        <w:t xml:space="preserve">The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>-DU may al</w:t>
      </w:r>
      <w:r w:rsidR="000370FB">
        <w:t>s</w:t>
      </w:r>
      <w:r>
        <w:t xml:space="preserve">o exchange information enabling an update of the list of candidate </w:t>
      </w:r>
      <w:proofErr w:type="spellStart"/>
      <w:r>
        <w:t>PCells</w:t>
      </w:r>
      <w:proofErr w:type="spellEnd"/>
      <w:r>
        <w:t>.</w:t>
      </w:r>
      <w:r w:rsidR="00D5189D">
        <w:t xml:space="preserve"> </w:t>
      </w:r>
    </w:p>
    <w:p w14:paraId="4864695D" w14:textId="63C01612" w:rsidR="000370FB" w:rsidRDefault="000370FB" w:rsidP="0088010B">
      <w:r>
        <w:t xml:space="preserve">From a UP point of </w:t>
      </w:r>
      <w:proofErr w:type="gramStart"/>
      <w:r>
        <w:t>view</w:t>
      </w:r>
      <w:proofErr w:type="gramEnd"/>
      <w:r>
        <w:t xml:space="preserve"> it is possible to leave the UP path unchanged throughput </w:t>
      </w:r>
      <w:proofErr w:type="spellStart"/>
      <w:r>
        <w:t>PCell</w:t>
      </w:r>
      <w:proofErr w:type="spellEnd"/>
      <w:r>
        <w:t xml:space="preserve"> changes, as this terminates at the same </w:t>
      </w:r>
      <w:proofErr w:type="spellStart"/>
      <w:r>
        <w:t>gNB</w:t>
      </w:r>
      <w:proofErr w:type="spellEnd"/>
      <w:r>
        <w:t xml:space="preserve">-DU. This implies that the deployment scenario would not affect the feature as all dynamic decisions on </w:t>
      </w:r>
      <w:proofErr w:type="spellStart"/>
      <w:r>
        <w:t>PCell</w:t>
      </w:r>
      <w:proofErr w:type="spellEnd"/>
      <w:r>
        <w:t xml:space="preserve"> changes would be taken at the </w:t>
      </w:r>
      <w:proofErr w:type="spellStart"/>
      <w:r>
        <w:t>gNB</w:t>
      </w:r>
      <w:proofErr w:type="spellEnd"/>
      <w:r>
        <w:t xml:space="preserve">-DU, while the process of updating the </w:t>
      </w:r>
      <w:proofErr w:type="spellStart"/>
      <w:r>
        <w:t>gNB</w:t>
      </w:r>
      <w:proofErr w:type="spellEnd"/>
      <w:r>
        <w:t xml:space="preserve">-CU on </w:t>
      </w:r>
      <w:proofErr w:type="spellStart"/>
      <w:r>
        <w:t>PCell</w:t>
      </w:r>
      <w:proofErr w:type="spellEnd"/>
      <w:r>
        <w:t xml:space="preserve"> changes is not time critical and given that the UP would remain unaltered. </w:t>
      </w:r>
    </w:p>
    <w:p w14:paraId="5B1BAC05" w14:textId="251102A2" w:rsidR="000370FB" w:rsidRDefault="000370FB" w:rsidP="0088010B">
      <w:r>
        <w:t>The relative simplicity of the scenario would imply also better interoperability between vendors.</w:t>
      </w:r>
    </w:p>
    <w:p w14:paraId="66300E48" w14:textId="415830A7" w:rsidR="00DD0CDC" w:rsidRPr="00DD0CDC" w:rsidRDefault="00DD0CDC" w:rsidP="0088010B">
      <w:pPr>
        <w:rPr>
          <w:b/>
          <w:bCs/>
        </w:rPr>
      </w:pPr>
      <w:r w:rsidRPr="00DD0CDC">
        <w:rPr>
          <w:b/>
          <w:bCs/>
        </w:rPr>
        <w:t xml:space="preserve">Conclusion 1: L1/L2-centric inter-cell mobility applied to intra </w:t>
      </w:r>
      <w:proofErr w:type="spellStart"/>
      <w:r w:rsidRPr="00DD0CDC">
        <w:rPr>
          <w:b/>
          <w:bCs/>
        </w:rPr>
        <w:t>gNB</w:t>
      </w:r>
      <w:proofErr w:type="spellEnd"/>
      <w:r w:rsidRPr="00DD0CDC">
        <w:rPr>
          <w:b/>
          <w:bCs/>
        </w:rPr>
        <w:t>-DU mobility scenarios has a contained functional impact on architecture and interfaces</w:t>
      </w:r>
      <w:r w:rsidR="000370FB">
        <w:rPr>
          <w:b/>
          <w:bCs/>
        </w:rPr>
        <w:t>. It is not affected by different types of deployment scenarios and it can be supported with good inter vendor interoperability.</w:t>
      </w:r>
    </w:p>
    <w:p w14:paraId="553B16B2" w14:textId="430E4D7A" w:rsidR="00322F25" w:rsidRDefault="00D5189D" w:rsidP="00322F25">
      <w:pPr>
        <w:pStyle w:val="Heading2"/>
      </w:pPr>
      <w:r>
        <w:t xml:space="preserve"> </w:t>
      </w:r>
      <w:r w:rsidR="00322F25">
        <w:t>3.2</w:t>
      </w:r>
      <w:r w:rsidR="00322F25">
        <w:tab/>
        <w:t xml:space="preserve">Inter </w:t>
      </w:r>
      <w:proofErr w:type="spellStart"/>
      <w:r w:rsidR="00322F25">
        <w:t>gNB</w:t>
      </w:r>
      <w:proofErr w:type="spellEnd"/>
      <w:r w:rsidR="00322F25">
        <w:t xml:space="preserve">-DU </w:t>
      </w:r>
      <w:r w:rsidR="00322F25" w:rsidRPr="0088010B">
        <w:t>L1/L2 centric inter cell mobility</w:t>
      </w:r>
    </w:p>
    <w:p w14:paraId="59920E0A" w14:textId="4EED9630" w:rsidR="00322F25" w:rsidRDefault="00322F25" w:rsidP="0088010B">
      <w:r>
        <w:t xml:space="preserve">The case of inter </w:t>
      </w:r>
      <w:proofErr w:type="spellStart"/>
      <w:r>
        <w:t>gNB</w:t>
      </w:r>
      <w:proofErr w:type="spellEnd"/>
      <w:r>
        <w:t xml:space="preserve">-DU </w:t>
      </w:r>
      <w:r w:rsidRPr="00C343BC">
        <w:t>L1/L2-centric inter-cell mobility</w:t>
      </w:r>
      <w:r>
        <w:t xml:space="preserve"> is substantially different from the intra </w:t>
      </w:r>
      <w:proofErr w:type="spellStart"/>
      <w:r>
        <w:t>gNB</w:t>
      </w:r>
      <w:proofErr w:type="spellEnd"/>
      <w:r>
        <w:t xml:space="preserve">-DU case. </w:t>
      </w:r>
      <w:r>
        <w:br/>
        <w:t xml:space="preserve">In this scenario a </w:t>
      </w:r>
      <w:proofErr w:type="spellStart"/>
      <w:r>
        <w:t>gNB</w:t>
      </w:r>
      <w:proofErr w:type="spellEnd"/>
      <w:r>
        <w:t xml:space="preserve">-DU would need to learn the neighbour relations of its own served cells with cells of other neighbouring </w:t>
      </w:r>
      <w:proofErr w:type="spellStart"/>
      <w:r>
        <w:t>gNB</w:t>
      </w:r>
      <w:proofErr w:type="spellEnd"/>
      <w:r>
        <w:t xml:space="preserve">-DU. As ANR measurements cannot be triggered at L1/L2, it is unclear how such neighbour relations can be developed. One may think of rather complex signalling exchanges between a </w:t>
      </w:r>
      <w:proofErr w:type="spellStart"/>
      <w:r>
        <w:t>gNB</w:t>
      </w:r>
      <w:proofErr w:type="spellEnd"/>
      <w:r>
        <w:t xml:space="preserve">-DU (receiving L1 measurements of cells served by different </w:t>
      </w:r>
      <w:proofErr w:type="spellStart"/>
      <w:r>
        <w:t>gNB</w:t>
      </w:r>
      <w:proofErr w:type="spellEnd"/>
      <w:r>
        <w:t xml:space="preserve">-DUs) and the </w:t>
      </w:r>
      <w:proofErr w:type="spellStart"/>
      <w:r>
        <w:t>gNB</w:t>
      </w:r>
      <w:proofErr w:type="spellEnd"/>
      <w:r>
        <w:t xml:space="preserve">-CU (trying to disambiguate the neighbour cell and sending back corresponding cell identities. However, this process is rather </w:t>
      </w:r>
      <w:proofErr w:type="gramStart"/>
      <w:r>
        <w:t>complex</w:t>
      </w:r>
      <w:proofErr w:type="gramEnd"/>
      <w:r>
        <w:t xml:space="preserve"> and it would duplicate the neighbour relation function, both in </w:t>
      </w:r>
      <w:proofErr w:type="spellStart"/>
      <w:r>
        <w:t>gNB</w:t>
      </w:r>
      <w:proofErr w:type="spellEnd"/>
      <w:r>
        <w:t xml:space="preserve">-CU and in </w:t>
      </w:r>
      <w:proofErr w:type="spellStart"/>
      <w:r>
        <w:t>gNB</w:t>
      </w:r>
      <w:proofErr w:type="spellEnd"/>
      <w:r>
        <w:t>-DU.</w:t>
      </w:r>
    </w:p>
    <w:p w14:paraId="28659E73" w14:textId="3BB1670D" w:rsidR="00DD0CDC" w:rsidRDefault="00322F25" w:rsidP="0088010B">
      <w:r>
        <w:t xml:space="preserve">Furthermore, at every </w:t>
      </w:r>
      <w:proofErr w:type="spellStart"/>
      <w:r>
        <w:t>PCell</w:t>
      </w:r>
      <w:proofErr w:type="spellEnd"/>
      <w:r>
        <w:t xml:space="preserve"> change the </w:t>
      </w:r>
      <w:r w:rsidR="00DD0CDC">
        <w:t>signalling</w:t>
      </w:r>
      <w:r>
        <w:t xml:space="preserve"> described in section 3.1 between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 xml:space="preserve">-CU </w:t>
      </w:r>
      <w:r w:rsidR="00DD0CDC">
        <w:t xml:space="preserve">for updating the serving </w:t>
      </w:r>
      <w:proofErr w:type="spellStart"/>
      <w:r w:rsidR="00DD0CDC">
        <w:t>PCell</w:t>
      </w:r>
      <w:proofErr w:type="spellEnd"/>
      <w:r w:rsidR="00DD0CDC">
        <w:t xml:space="preserve"> should happen, but in addition UP tunnels should be switched too. Likely data forwarding would need to be triggered from source </w:t>
      </w:r>
      <w:proofErr w:type="spellStart"/>
      <w:r w:rsidR="00DD0CDC">
        <w:t>gNB</w:t>
      </w:r>
      <w:proofErr w:type="spellEnd"/>
      <w:r w:rsidR="00DD0CDC">
        <w:t xml:space="preserve">-DU to target </w:t>
      </w:r>
      <w:proofErr w:type="spellStart"/>
      <w:r w:rsidR="00DD0CDC">
        <w:t>gNB</w:t>
      </w:r>
      <w:proofErr w:type="spellEnd"/>
      <w:r w:rsidR="00DD0CDC">
        <w:t>-DU.</w:t>
      </w:r>
    </w:p>
    <w:p w14:paraId="1FCB22E2" w14:textId="50BD0F3A" w:rsidR="00DD0CDC" w:rsidRDefault="00DD0CDC" w:rsidP="0088010B">
      <w:r>
        <w:t xml:space="preserve">Considering that one of the main advantages of </w:t>
      </w:r>
      <w:r w:rsidRPr="00C343BC">
        <w:t>L1/L2-centric inter-cell mobility</w:t>
      </w:r>
      <w:r>
        <w:t xml:space="preserve"> is that of low mobility latency, such extra procedures for UP handling may imply extra delays and for that deny one of the main advantages of the procedure.</w:t>
      </w:r>
    </w:p>
    <w:p w14:paraId="7FFE13C9" w14:textId="6DAC09FA" w:rsidR="00DD0CDC" w:rsidRDefault="00DD0CDC" w:rsidP="0088010B">
      <w:r>
        <w:t xml:space="preserve">In the inter </w:t>
      </w:r>
      <w:proofErr w:type="spellStart"/>
      <w:r>
        <w:t>gNB</w:t>
      </w:r>
      <w:proofErr w:type="spellEnd"/>
      <w:r>
        <w:t xml:space="preserve">-DU </w:t>
      </w:r>
      <w:r w:rsidRPr="00C343BC">
        <w:t>L1/L2-centric inter-cell mobility</w:t>
      </w:r>
      <w:r>
        <w:t xml:space="preserve">, each </w:t>
      </w:r>
      <w:proofErr w:type="spellStart"/>
      <w:r>
        <w:t>gNB</w:t>
      </w:r>
      <w:proofErr w:type="spellEnd"/>
      <w:r>
        <w:t xml:space="preserve">-DU serving one of the </w:t>
      </w:r>
      <w:proofErr w:type="gramStart"/>
      <w:r>
        <w:t>candidate</w:t>
      </w:r>
      <w:proofErr w:type="gramEnd"/>
      <w:r>
        <w:t xml:space="preserve"> </w:t>
      </w:r>
      <w:proofErr w:type="spellStart"/>
      <w:r>
        <w:t>PCells</w:t>
      </w:r>
      <w:proofErr w:type="spellEnd"/>
      <w:r>
        <w:t xml:space="preserve"> should be prepared for serving the UE. This may constitute an inefficient way of using resources as such prepared resources would need to be allocated at each involved </w:t>
      </w:r>
      <w:proofErr w:type="spellStart"/>
      <w:r>
        <w:t>gNB</w:t>
      </w:r>
      <w:proofErr w:type="spellEnd"/>
      <w:r>
        <w:t xml:space="preserve">-DU, even if the UE never enters those configured potential </w:t>
      </w:r>
      <w:proofErr w:type="spellStart"/>
      <w:r>
        <w:t>PCells</w:t>
      </w:r>
      <w:proofErr w:type="spellEnd"/>
      <w:r>
        <w:t>.</w:t>
      </w:r>
    </w:p>
    <w:p w14:paraId="7C07AC82" w14:textId="6F4F4F61" w:rsidR="00DD0CDC" w:rsidRDefault="00DD0CDC" w:rsidP="0088010B">
      <w:r>
        <w:lastRenderedPageBreak/>
        <w:t xml:space="preserve">An even higher impact would be incurred if “inter </w:t>
      </w:r>
      <w:proofErr w:type="spellStart"/>
      <w:r>
        <w:t>gNB</w:t>
      </w:r>
      <w:proofErr w:type="spellEnd"/>
      <w:r>
        <w:t xml:space="preserve">-DU scenarios” include inter </w:t>
      </w:r>
      <w:proofErr w:type="spellStart"/>
      <w:r>
        <w:t>gNB</w:t>
      </w:r>
      <w:proofErr w:type="spellEnd"/>
      <w:r>
        <w:t xml:space="preserve"> scenarios. In this case the procedures described above would need to be also covered over the Xn interface, with further mobility delays involved and further complexity implied. </w:t>
      </w:r>
    </w:p>
    <w:p w14:paraId="50A53ED6" w14:textId="35250DCC" w:rsidR="000370FB" w:rsidRDefault="000370FB" w:rsidP="0088010B">
      <w:r>
        <w:t xml:space="preserve">It should be noted that performance would be affected by the type of deployment scenarios. For example, in a scenario where data forwarding </w:t>
      </w:r>
      <w:proofErr w:type="gramStart"/>
      <w:r>
        <w:t>has to</w:t>
      </w:r>
      <w:proofErr w:type="gramEnd"/>
      <w:r>
        <w:t xml:space="preserve"> traverse long transport paths, the mobility delays would increase even further. </w:t>
      </w:r>
    </w:p>
    <w:p w14:paraId="698F12AA" w14:textId="0834C0F9" w:rsidR="000370FB" w:rsidRDefault="000370FB" w:rsidP="0088010B">
      <w:r>
        <w:t xml:space="preserve">With respect to inter vendor interoperability, the complexity of the function implies that it is likely interoperability would be difficult to achieve. </w:t>
      </w:r>
    </w:p>
    <w:p w14:paraId="62327A3D" w14:textId="6F052B72" w:rsidR="00DD0CDC" w:rsidRPr="00DD0CDC" w:rsidRDefault="00DD0CDC" w:rsidP="00DD0CDC">
      <w:pPr>
        <w:rPr>
          <w:b/>
          <w:bCs/>
        </w:rPr>
      </w:pPr>
      <w:r w:rsidRPr="00DD0CDC">
        <w:rPr>
          <w:b/>
          <w:bCs/>
        </w:rPr>
        <w:t xml:space="preserve">Conclusion </w:t>
      </w:r>
      <w:r>
        <w:rPr>
          <w:b/>
          <w:bCs/>
        </w:rPr>
        <w:t>2</w:t>
      </w:r>
      <w:r w:rsidRPr="00DD0CDC">
        <w:rPr>
          <w:b/>
          <w:bCs/>
        </w:rPr>
        <w:t>: L1/L2-centric inter-cell mobility applied to int</w:t>
      </w:r>
      <w:r>
        <w:rPr>
          <w:b/>
          <w:bCs/>
        </w:rPr>
        <w:t>er</w:t>
      </w:r>
      <w:r w:rsidRPr="00DD0CDC">
        <w:rPr>
          <w:b/>
          <w:bCs/>
        </w:rPr>
        <w:t xml:space="preserve"> </w:t>
      </w:r>
      <w:proofErr w:type="spellStart"/>
      <w:r w:rsidRPr="00DD0CDC">
        <w:rPr>
          <w:b/>
          <w:bCs/>
        </w:rPr>
        <w:t>gNB</w:t>
      </w:r>
      <w:proofErr w:type="spellEnd"/>
      <w:r w:rsidRPr="00DD0CDC">
        <w:rPr>
          <w:b/>
          <w:bCs/>
        </w:rPr>
        <w:t xml:space="preserve">-DU mobility scenarios has a </w:t>
      </w:r>
      <w:r>
        <w:rPr>
          <w:b/>
          <w:bCs/>
        </w:rPr>
        <w:t>considerable</w:t>
      </w:r>
      <w:r w:rsidRPr="00DD0CDC">
        <w:rPr>
          <w:b/>
          <w:bCs/>
        </w:rPr>
        <w:t xml:space="preserve"> functional impact on architecture and interfaces</w:t>
      </w:r>
      <w:r w:rsidR="00FB5599">
        <w:rPr>
          <w:b/>
          <w:bCs/>
        </w:rPr>
        <w:t>. These scenarios are affected in performance by the type of deployment and their complexity implies more challenging inter vendor interoperability.</w:t>
      </w:r>
    </w:p>
    <w:p w14:paraId="0BA7968B" w14:textId="7085C3E4" w:rsidR="00322F25" w:rsidRPr="0088010B" w:rsidRDefault="00322F25" w:rsidP="0088010B"/>
    <w:p w14:paraId="1AFFB62E" w14:textId="2FD04AD5" w:rsidR="008376CA" w:rsidRDefault="00A61613">
      <w:pPr>
        <w:pStyle w:val="Heading1"/>
      </w:pPr>
      <w:r>
        <w:t>3</w:t>
      </w:r>
      <w:r>
        <w:tab/>
        <w:t>Conclusion</w:t>
      </w:r>
    </w:p>
    <w:p w14:paraId="5FB24E9A" w14:textId="4B1A812E" w:rsidR="006957FA" w:rsidRDefault="00FB5599" w:rsidP="006957FA">
      <w:r>
        <w:t>In this paper an analysis of the scenarios presented in the LS from RAN1 in [1] has been made. The paper converged on the following conclusions:</w:t>
      </w:r>
    </w:p>
    <w:p w14:paraId="1C35134C" w14:textId="77777777" w:rsidR="00FB5599" w:rsidRPr="00DD0CDC" w:rsidRDefault="00FB5599" w:rsidP="00FB5599">
      <w:pPr>
        <w:rPr>
          <w:b/>
          <w:bCs/>
        </w:rPr>
      </w:pPr>
      <w:r w:rsidRPr="00DD0CDC">
        <w:rPr>
          <w:b/>
          <w:bCs/>
        </w:rPr>
        <w:t xml:space="preserve">Conclusion 1: L1/L2-centric inter-cell mobility applied to intra </w:t>
      </w:r>
      <w:proofErr w:type="spellStart"/>
      <w:r w:rsidRPr="00DD0CDC">
        <w:rPr>
          <w:b/>
          <w:bCs/>
        </w:rPr>
        <w:t>gNB</w:t>
      </w:r>
      <w:proofErr w:type="spellEnd"/>
      <w:r w:rsidRPr="00DD0CDC">
        <w:rPr>
          <w:b/>
          <w:bCs/>
        </w:rPr>
        <w:t>-DU mobility scenarios has a contained functional impact on architecture and interfaces</w:t>
      </w:r>
      <w:r>
        <w:rPr>
          <w:b/>
          <w:bCs/>
        </w:rPr>
        <w:t>. It is not affected by different types of deployment scenarios and it can be supported with good inter vendor interoperability.</w:t>
      </w:r>
    </w:p>
    <w:p w14:paraId="3B31FBFD" w14:textId="77777777" w:rsidR="00FB5599" w:rsidRPr="00DD0CDC" w:rsidRDefault="00FB5599" w:rsidP="00FB5599">
      <w:pPr>
        <w:rPr>
          <w:b/>
          <w:bCs/>
        </w:rPr>
      </w:pPr>
      <w:r w:rsidRPr="00DD0CDC">
        <w:rPr>
          <w:b/>
          <w:bCs/>
        </w:rPr>
        <w:t xml:space="preserve">Conclusion </w:t>
      </w:r>
      <w:r>
        <w:rPr>
          <w:b/>
          <w:bCs/>
        </w:rPr>
        <w:t>2</w:t>
      </w:r>
      <w:r w:rsidRPr="00DD0CDC">
        <w:rPr>
          <w:b/>
          <w:bCs/>
        </w:rPr>
        <w:t>: L1/L2-centric inter-cell mobility applied to int</w:t>
      </w:r>
      <w:r>
        <w:rPr>
          <w:b/>
          <w:bCs/>
        </w:rPr>
        <w:t>er</w:t>
      </w:r>
      <w:r w:rsidRPr="00DD0CDC">
        <w:rPr>
          <w:b/>
          <w:bCs/>
        </w:rPr>
        <w:t xml:space="preserve"> </w:t>
      </w:r>
      <w:proofErr w:type="spellStart"/>
      <w:r w:rsidRPr="00DD0CDC">
        <w:rPr>
          <w:b/>
          <w:bCs/>
        </w:rPr>
        <w:t>gNB</w:t>
      </w:r>
      <w:proofErr w:type="spellEnd"/>
      <w:r w:rsidRPr="00DD0CDC">
        <w:rPr>
          <w:b/>
          <w:bCs/>
        </w:rPr>
        <w:t xml:space="preserve">-DU mobility scenarios has a </w:t>
      </w:r>
      <w:r>
        <w:rPr>
          <w:b/>
          <w:bCs/>
        </w:rPr>
        <w:t>considerable</w:t>
      </w:r>
      <w:r w:rsidRPr="00DD0CDC">
        <w:rPr>
          <w:b/>
          <w:bCs/>
        </w:rPr>
        <w:t xml:space="preserve"> functional impact on architecture and interfaces</w:t>
      </w:r>
      <w:r>
        <w:rPr>
          <w:b/>
          <w:bCs/>
        </w:rPr>
        <w:t>. These scenarios are affected in performance by the type of deployment and their complexity implies more challenging inter vendor interoperability.</w:t>
      </w:r>
    </w:p>
    <w:p w14:paraId="52DAA67D" w14:textId="28F7D5BE" w:rsidR="00FB5599" w:rsidRDefault="00FB5599" w:rsidP="006957FA">
      <w:r>
        <w:t xml:space="preserve">A reply LS capturing the conclusions above is available in </w:t>
      </w:r>
      <w:r w:rsidR="0013320F" w:rsidRPr="0013320F">
        <w:t>R3-212307</w:t>
      </w:r>
    </w:p>
    <w:p w14:paraId="7BAB2B9D" w14:textId="77777777" w:rsidR="00FB5599" w:rsidRPr="006957FA" w:rsidRDefault="00FB5599" w:rsidP="006957FA"/>
    <w:p w14:paraId="2161900A" w14:textId="77777777" w:rsidR="008376CA" w:rsidRDefault="00A61613">
      <w:pPr>
        <w:pStyle w:val="Heading1"/>
      </w:pPr>
      <w:r>
        <w:t>6</w:t>
      </w:r>
      <w:r>
        <w:tab/>
        <w:t>References</w:t>
      </w:r>
    </w:p>
    <w:p w14:paraId="0998DA9B" w14:textId="78646F82" w:rsidR="00044B27" w:rsidRDefault="00A61613">
      <w:pPr>
        <w:rPr>
          <w:bCs/>
        </w:rPr>
      </w:pPr>
      <w:r>
        <w:t>[1</w:t>
      </w:r>
      <w:r w:rsidR="00DA53C7">
        <w:t xml:space="preserve">] </w:t>
      </w:r>
      <w:r w:rsidR="00C343BC" w:rsidRPr="00C343BC">
        <w:rPr>
          <w:bCs/>
        </w:rPr>
        <w:t>R1-2102248</w:t>
      </w:r>
      <w:r w:rsidR="00C343BC">
        <w:rPr>
          <w:bCs/>
        </w:rPr>
        <w:t xml:space="preserve">, </w:t>
      </w:r>
      <w:r w:rsidR="00C343BC" w:rsidRPr="00C343BC">
        <w:rPr>
          <w:bCs/>
        </w:rPr>
        <w:t>LS on TCI State Update for L1/L2-Centric Inter-Cell Mobility</w:t>
      </w:r>
      <w:r w:rsidR="00311D97" w:rsidRPr="00DA53C7">
        <w:rPr>
          <w:bCs/>
        </w:rPr>
        <w:t xml:space="preserve">, </w:t>
      </w:r>
      <w:r w:rsidR="00DA53C7" w:rsidRPr="00DA53C7">
        <w:rPr>
          <w:bCs/>
        </w:rPr>
        <w:t>RAN</w:t>
      </w:r>
      <w:r w:rsidR="00C343BC">
        <w:rPr>
          <w:bCs/>
        </w:rPr>
        <w:t>1</w:t>
      </w:r>
    </w:p>
    <w:p w14:paraId="1CF91932" w14:textId="77777777" w:rsidR="008376CA" w:rsidRDefault="008376CA"/>
    <w:p w14:paraId="1B4855EE" w14:textId="77777777" w:rsidR="008376CA" w:rsidRDefault="008376CA"/>
    <w:p w14:paraId="411538DE" w14:textId="77777777" w:rsidR="008376CA" w:rsidRDefault="008376CA"/>
    <w:sectPr w:rsidR="008376C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904021"/>
    <w:multiLevelType w:val="multilevel"/>
    <w:tmpl w:val="0F90402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46CE3"/>
    <w:multiLevelType w:val="hybridMultilevel"/>
    <w:tmpl w:val="A29236A2"/>
    <w:lvl w:ilvl="0" w:tplc="23FE2E6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839A9"/>
    <w:multiLevelType w:val="multilevel"/>
    <w:tmpl w:val="470839A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DA7532"/>
    <w:multiLevelType w:val="hybridMultilevel"/>
    <w:tmpl w:val="8194A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923160"/>
    <w:multiLevelType w:val="hybridMultilevel"/>
    <w:tmpl w:val="C846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D40282"/>
    <w:multiLevelType w:val="hybridMultilevel"/>
    <w:tmpl w:val="AE56CDAC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1F81"/>
    <w:rsid w:val="00026B4E"/>
    <w:rsid w:val="00033397"/>
    <w:rsid w:val="000342C7"/>
    <w:rsid w:val="0003632C"/>
    <w:rsid w:val="000370FB"/>
    <w:rsid w:val="00040095"/>
    <w:rsid w:val="00044B27"/>
    <w:rsid w:val="0005563E"/>
    <w:rsid w:val="00062197"/>
    <w:rsid w:val="00080512"/>
    <w:rsid w:val="00083F0D"/>
    <w:rsid w:val="000843DA"/>
    <w:rsid w:val="000A3148"/>
    <w:rsid w:val="000B2C12"/>
    <w:rsid w:val="000B7BCF"/>
    <w:rsid w:val="000C556D"/>
    <w:rsid w:val="000D376D"/>
    <w:rsid w:val="000D58AB"/>
    <w:rsid w:val="001075B7"/>
    <w:rsid w:val="00122AFC"/>
    <w:rsid w:val="0013320F"/>
    <w:rsid w:val="001370F2"/>
    <w:rsid w:val="0015182C"/>
    <w:rsid w:val="001549DD"/>
    <w:rsid w:val="001802E6"/>
    <w:rsid w:val="001808BD"/>
    <w:rsid w:val="00194CD0"/>
    <w:rsid w:val="001A60CF"/>
    <w:rsid w:val="001B08B3"/>
    <w:rsid w:val="001C0E84"/>
    <w:rsid w:val="001C4281"/>
    <w:rsid w:val="001D0D3F"/>
    <w:rsid w:val="001F168B"/>
    <w:rsid w:val="001F70B7"/>
    <w:rsid w:val="00211100"/>
    <w:rsid w:val="00212B51"/>
    <w:rsid w:val="0022606D"/>
    <w:rsid w:val="002305DD"/>
    <w:rsid w:val="00243BC7"/>
    <w:rsid w:val="00254D60"/>
    <w:rsid w:val="00255E77"/>
    <w:rsid w:val="002623FC"/>
    <w:rsid w:val="0027230B"/>
    <w:rsid w:val="002747EC"/>
    <w:rsid w:val="002855BF"/>
    <w:rsid w:val="002940F6"/>
    <w:rsid w:val="002A3E4A"/>
    <w:rsid w:val="002E1692"/>
    <w:rsid w:val="002F0D22"/>
    <w:rsid w:val="002F3B01"/>
    <w:rsid w:val="00303093"/>
    <w:rsid w:val="00311D97"/>
    <w:rsid w:val="003172DC"/>
    <w:rsid w:val="003178EC"/>
    <w:rsid w:val="00322F25"/>
    <w:rsid w:val="00326069"/>
    <w:rsid w:val="003370A7"/>
    <w:rsid w:val="003454FC"/>
    <w:rsid w:val="0035462D"/>
    <w:rsid w:val="00363177"/>
    <w:rsid w:val="0037525B"/>
    <w:rsid w:val="003776B4"/>
    <w:rsid w:val="0038125F"/>
    <w:rsid w:val="003B3FB3"/>
    <w:rsid w:val="003B6574"/>
    <w:rsid w:val="003C08E1"/>
    <w:rsid w:val="003C4E37"/>
    <w:rsid w:val="003E16BE"/>
    <w:rsid w:val="003E3DA4"/>
    <w:rsid w:val="003E7223"/>
    <w:rsid w:val="00400A37"/>
    <w:rsid w:val="00401855"/>
    <w:rsid w:val="0041256C"/>
    <w:rsid w:val="00414246"/>
    <w:rsid w:val="004240BC"/>
    <w:rsid w:val="00436258"/>
    <w:rsid w:val="00442AE6"/>
    <w:rsid w:val="004469C8"/>
    <w:rsid w:val="004577CD"/>
    <w:rsid w:val="00463AC8"/>
    <w:rsid w:val="00464695"/>
    <w:rsid w:val="00475A68"/>
    <w:rsid w:val="0048025A"/>
    <w:rsid w:val="004A6C84"/>
    <w:rsid w:val="004D3578"/>
    <w:rsid w:val="004D380D"/>
    <w:rsid w:val="004D3F58"/>
    <w:rsid w:val="004D53EC"/>
    <w:rsid w:val="004D5E47"/>
    <w:rsid w:val="004E213A"/>
    <w:rsid w:val="004E21FC"/>
    <w:rsid w:val="00503171"/>
    <w:rsid w:val="00505AA3"/>
    <w:rsid w:val="00510B85"/>
    <w:rsid w:val="005153FE"/>
    <w:rsid w:val="005240A4"/>
    <w:rsid w:val="00534DA0"/>
    <w:rsid w:val="00540B31"/>
    <w:rsid w:val="00543E6C"/>
    <w:rsid w:val="00544635"/>
    <w:rsid w:val="00565087"/>
    <w:rsid w:val="0056573F"/>
    <w:rsid w:val="00565BE9"/>
    <w:rsid w:val="00571CE2"/>
    <w:rsid w:val="0058672E"/>
    <w:rsid w:val="005944E4"/>
    <w:rsid w:val="00594661"/>
    <w:rsid w:val="005A00E1"/>
    <w:rsid w:val="005A4971"/>
    <w:rsid w:val="005B1232"/>
    <w:rsid w:val="005B2EEF"/>
    <w:rsid w:val="005B4392"/>
    <w:rsid w:val="005B79D2"/>
    <w:rsid w:val="005D4274"/>
    <w:rsid w:val="006024F4"/>
    <w:rsid w:val="00605E3E"/>
    <w:rsid w:val="00606DA9"/>
    <w:rsid w:val="00611566"/>
    <w:rsid w:val="00643053"/>
    <w:rsid w:val="00654553"/>
    <w:rsid w:val="00656E1E"/>
    <w:rsid w:val="006604E4"/>
    <w:rsid w:val="006771AE"/>
    <w:rsid w:val="00693E9F"/>
    <w:rsid w:val="006957FA"/>
    <w:rsid w:val="006C0C60"/>
    <w:rsid w:val="006C2F14"/>
    <w:rsid w:val="006C3C72"/>
    <w:rsid w:val="006C54B5"/>
    <w:rsid w:val="006C76D9"/>
    <w:rsid w:val="006D1E24"/>
    <w:rsid w:val="006E6555"/>
    <w:rsid w:val="006E661E"/>
    <w:rsid w:val="006F1B63"/>
    <w:rsid w:val="00702E82"/>
    <w:rsid w:val="00713F1B"/>
    <w:rsid w:val="00731C31"/>
    <w:rsid w:val="007342E2"/>
    <w:rsid w:val="00734A5B"/>
    <w:rsid w:val="00743525"/>
    <w:rsid w:val="00744E76"/>
    <w:rsid w:val="007476DB"/>
    <w:rsid w:val="00757CBC"/>
    <w:rsid w:val="00757D40"/>
    <w:rsid w:val="007722B6"/>
    <w:rsid w:val="00774846"/>
    <w:rsid w:val="00781F0F"/>
    <w:rsid w:val="0078727C"/>
    <w:rsid w:val="00796177"/>
    <w:rsid w:val="00797D4B"/>
    <w:rsid w:val="007A0758"/>
    <w:rsid w:val="007B0A52"/>
    <w:rsid w:val="007B4367"/>
    <w:rsid w:val="007B54F6"/>
    <w:rsid w:val="007C095F"/>
    <w:rsid w:val="007D5902"/>
    <w:rsid w:val="007E3011"/>
    <w:rsid w:val="007E7607"/>
    <w:rsid w:val="00802106"/>
    <w:rsid w:val="008028A4"/>
    <w:rsid w:val="00806520"/>
    <w:rsid w:val="008255C3"/>
    <w:rsid w:val="008376CA"/>
    <w:rsid w:val="00840916"/>
    <w:rsid w:val="0084359D"/>
    <w:rsid w:val="00852041"/>
    <w:rsid w:val="008520C6"/>
    <w:rsid w:val="00853EDD"/>
    <w:rsid w:val="008604EE"/>
    <w:rsid w:val="008768CA"/>
    <w:rsid w:val="00876A04"/>
    <w:rsid w:val="0088010B"/>
    <w:rsid w:val="00880559"/>
    <w:rsid w:val="00883D79"/>
    <w:rsid w:val="00890E01"/>
    <w:rsid w:val="008C0CA1"/>
    <w:rsid w:val="008C1C99"/>
    <w:rsid w:val="008C59BF"/>
    <w:rsid w:val="008D01C8"/>
    <w:rsid w:val="008F5790"/>
    <w:rsid w:val="0090271F"/>
    <w:rsid w:val="00903D8C"/>
    <w:rsid w:val="00926D09"/>
    <w:rsid w:val="00942EC2"/>
    <w:rsid w:val="009442BA"/>
    <w:rsid w:val="00954BCB"/>
    <w:rsid w:val="00961B32"/>
    <w:rsid w:val="009700AE"/>
    <w:rsid w:val="00970F0C"/>
    <w:rsid w:val="00971683"/>
    <w:rsid w:val="00972FD7"/>
    <w:rsid w:val="00974BB0"/>
    <w:rsid w:val="0099610B"/>
    <w:rsid w:val="009A664E"/>
    <w:rsid w:val="009A6E4F"/>
    <w:rsid w:val="009B54A1"/>
    <w:rsid w:val="009C32DB"/>
    <w:rsid w:val="009C4D5C"/>
    <w:rsid w:val="009C511C"/>
    <w:rsid w:val="009D0A28"/>
    <w:rsid w:val="009E527A"/>
    <w:rsid w:val="009F3B54"/>
    <w:rsid w:val="009F7E6E"/>
    <w:rsid w:val="00A0037E"/>
    <w:rsid w:val="00A0436A"/>
    <w:rsid w:val="00A044D3"/>
    <w:rsid w:val="00A10F02"/>
    <w:rsid w:val="00A2096F"/>
    <w:rsid w:val="00A21A06"/>
    <w:rsid w:val="00A32D62"/>
    <w:rsid w:val="00A5074A"/>
    <w:rsid w:val="00A509B5"/>
    <w:rsid w:val="00A53724"/>
    <w:rsid w:val="00A56A11"/>
    <w:rsid w:val="00A61613"/>
    <w:rsid w:val="00A62EA1"/>
    <w:rsid w:val="00A64267"/>
    <w:rsid w:val="00A80D1E"/>
    <w:rsid w:val="00A82346"/>
    <w:rsid w:val="00A8361A"/>
    <w:rsid w:val="00A90605"/>
    <w:rsid w:val="00A9096A"/>
    <w:rsid w:val="00A9671C"/>
    <w:rsid w:val="00A96769"/>
    <w:rsid w:val="00AB307C"/>
    <w:rsid w:val="00AC31E5"/>
    <w:rsid w:val="00AD4BCF"/>
    <w:rsid w:val="00AF4A21"/>
    <w:rsid w:val="00AF78D5"/>
    <w:rsid w:val="00B06E0F"/>
    <w:rsid w:val="00B1063A"/>
    <w:rsid w:val="00B15449"/>
    <w:rsid w:val="00B43FF9"/>
    <w:rsid w:val="00B506FE"/>
    <w:rsid w:val="00B90B3A"/>
    <w:rsid w:val="00B9781E"/>
    <w:rsid w:val="00BA2E51"/>
    <w:rsid w:val="00BD2A1D"/>
    <w:rsid w:val="00BF79F1"/>
    <w:rsid w:val="00C03035"/>
    <w:rsid w:val="00C21396"/>
    <w:rsid w:val="00C221D8"/>
    <w:rsid w:val="00C33079"/>
    <w:rsid w:val="00C343BC"/>
    <w:rsid w:val="00C43B31"/>
    <w:rsid w:val="00C604A5"/>
    <w:rsid w:val="00CA3D0C"/>
    <w:rsid w:val="00CB6651"/>
    <w:rsid w:val="00CB6887"/>
    <w:rsid w:val="00CC1A78"/>
    <w:rsid w:val="00CC45AB"/>
    <w:rsid w:val="00CD4C7B"/>
    <w:rsid w:val="00CE510B"/>
    <w:rsid w:val="00CE5B7A"/>
    <w:rsid w:val="00CE7DFD"/>
    <w:rsid w:val="00D22038"/>
    <w:rsid w:val="00D40002"/>
    <w:rsid w:val="00D5189D"/>
    <w:rsid w:val="00D628F5"/>
    <w:rsid w:val="00D738D6"/>
    <w:rsid w:val="00D80795"/>
    <w:rsid w:val="00D84F1B"/>
    <w:rsid w:val="00D87E00"/>
    <w:rsid w:val="00D9134D"/>
    <w:rsid w:val="00D97CD9"/>
    <w:rsid w:val="00DA53C7"/>
    <w:rsid w:val="00DA7A03"/>
    <w:rsid w:val="00DB1818"/>
    <w:rsid w:val="00DC309B"/>
    <w:rsid w:val="00DC4DA2"/>
    <w:rsid w:val="00DC59FD"/>
    <w:rsid w:val="00DD0CDC"/>
    <w:rsid w:val="00DD2A4D"/>
    <w:rsid w:val="00DE1406"/>
    <w:rsid w:val="00DF488A"/>
    <w:rsid w:val="00E05564"/>
    <w:rsid w:val="00E07838"/>
    <w:rsid w:val="00E07B06"/>
    <w:rsid w:val="00E13320"/>
    <w:rsid w:val="00E340BC"/>
    <w:rsid w:val="00E4418E"/>
    <w:rsid w:val="00E62835"/>
    <w:rsid w:val="00E77645"/>
    <w:rsid w:val="00E81A99"/>
    <w:rsid w:val="00E852FF"/>
    <w:rsid w:val="00E90ABE"/>
    <w:rsid w:val="00EA22F8"/>
    <w:rsid w:val="00EB0C2C"/>
    <w:rsid w:val="00EB4B14"/>
    <w:rsid w:val="00EC4A25"/>
    <w:rsid w:val="00EE0A1E"/>
    <w:rsid w:val="00EE0DC9"/>
    <w:rsid w:val="00EF02F7"/>
    <w:rsid w:val="00F025A2"/>
    <w:rsid w:val="00F157EF"/>
    <w:rsid w:val="00F2026E"/>
    <w:rsid w:val="00F2210A"/>
    <w:rsid w:val="00F2339D"/>
    <w:rsid w:val="00F37743"/>
    <w:rsid w:val="00F402A8"/>
    <w:rsid w:val="00F54A3D"/>
    <w:rsid w:val="00F631CD"/>
    <w:rsid w:val="00F653B8"/>
    <w:rsid w:val="00F76F8F"/>
    <w:rsid w:val="00F86333"/>
    <w:rsid w:val="00FA1266"/>
    <w:rsid w:val="00FB2BEA"/>
    <w:rsid w:val="00FB5599"/>
    <w:rsid w:val="00FC1192"/>
    <w:rsid w:val="00FF4BAA"/>
    <w:rsid w:val="00FF7BCD"/>
    <w:rsid w:val="69964570"/>
    <w:rsid w:val="7D60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C2A62A"/>
  <w15:docId w15:val="{8AA2DF0F-25F9-4FA4-B18D-DA0EFEB65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Hyperlink">
    <w:name w:val="Hyperlink"/>
    <w:qFormat/>
    <w:rPr>
      <w:color w:val="0000FF"/>
      <w:u w:val="single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343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3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Ericsson User</cp:lastModifiedBy>
  <cp:revision>2</cp:revision>
  <dcterms:created xsi:type="dcterms:W3CDTF">2021-05-06T20:05:00Z</dcterms:created>
  <dcterms:modified xsi:type="dcterms:W3CDTF">2021-05-06T20:05:00Z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(2)CQJIRcjSCcP1YJV3yEJQb1OZ4RxkHgVLH3A4YEdzpKP9U8haxjdsRRSCeXKsWnwVHmPQtBdr
IiTotSE0rgSVlUONum6qsY1ANVeLvpmUUkdyfbwWueSrcNBR4c9UnEJyV+9o+mJZ2x3BolEt
e632b1PYgVZFVKIqI94EqP5nZVkFVNW0wLfyfjv28IecNaq7eS/ohvt9tnpSI5HvSPYASQ8x
EYDrEkTL+nmE6LHGAf</vt:lpwstr>
  </property>
  <property fmtid="{D5CDD505-2E9C-101B-9397-08002B2CF9AE}" pid="3" name="_2015_ms_pID_7253431">
    <vt:lpwstr>nMaslx1HZdF2HQ8gCbTU/E8lJXHFVZ00otOVD/3KaoCArlDG2xOkZl
8CeXBTOYuy7aKO/fJr9DRqAyodB8wxEQZJidwbAZ708I81ciswp79hNCx1Q3TaeE+Hqf21c9
AYDq/+dXGfmckGsNy+QSXmx8LNIqNYIVaALw9TOafeF3tmb+WLoUhdeE7SrkjV+pfavEtL9P
iD/2MLKjQCMN+8WM</vt:lpwstr>
  </property>
  <property fmtid="{D5CDD505-2E9C-101B-9397-08002B2CF9AE}" pid="4" name="KSOProductBuildVer">
    <vt:lpwstr>2052-11.8.2.9022</vt:lpwstr>
  </property>
</Properties>
</file>